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87" w:rsidRDefault="00651A87" w:rsidP="00651A87">
      <w:pPr>
        <w:rPr>
          <w:b/>
          <w:bCs/>
        </w:rPr>
      </w:pPr>
    </w:p>
    <w:p w:rsidR="00651A87" w:rsidRPr="00651A87" w:rsidRDefault="00651A87" w:rsidP="00651A87">
      <w:pPr>
        <w:jc w:val="center"/>
        <w:rPr>
          <w:b/>
          <w:bCs/>
        </w:rPr>
      </w:pPr>
      <w:r w:rsidRPr="00651A87">
        <w:rPr>
          <w:b/>
          <w:bCs/>
        </w:rPr>
        <w:drawing>
          <wp:inline distT="0" distB="0" distL="0" distR="0">
            <wp:extent cx="1323975" cy="1228725"/>
            <wp:effectExtent l="0" t="0" r="9525" b="9525"/>
            <wp:docPr id="1" name="Picture 1" descr="Connecticu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icut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28725"/>
                    </a:xfrm>
                    <a:prstGeom prst="rect">
                      <a:avLst/>
                    </a:prstGeom>
                    <a:noFill/>
                    <a:ln>
                      <a:noFill/>
                    </a:ln>
                  </pic:spPr>
                </pic:pic>
              </a:graphicData>
            </a:graphic>
          </wp:inline>
        </w:drawing>
      </w:r>
    </w:p>
    <w:p w:rsidR="00651A87" w:rsidRPr="00651A87" w:rsidRDefault="00651A87" w:rsidP="00651A87">
      <w:pPr>
        <w:rPr>
          <w:b/>
          <w:bCs/>
        </w:rPr>
      </w:pPr>
      <w:bookmarkStart w:id="0" w:name="P14_85"/>
      <w:bookmarkEnd w:id="0"/>
      <w:r w:rsidRPr="00651A87">
        <w:rPr>
          <w:b/>
          <w:bCs/>
          <w:i/>
          <w:iCs/>
        </w:rPr>
        <w:t>Public Act No. 17-76</w:t>
      </w:r>
    </w:p>
    <w:p w:rsidR="00651A87" w:rsidRPr="00651A87" w:rsidRDefault="00651A87" w:rsidP="00651A87">
      <w:pPr>
        <w:rPr>
          <w:b/>
          <w:bCs/>
        </w:rPr>
      </w:pPr>
      <w:bookmarkStart w:id="1" w:name="P17_105"/>
      <w:bookmarkEnd w:id="1"/>
      <w:proofErr w:type="gramStart"/>
      <w:r w:rsidRPr="00651A87">
        <w:rPr>
          <w:b/>
          <w:bCs/>
          <w:i/>
          <w:iCs/>
        </w:rPr>
        <w:t>AN ACT ESTABLISHING AN APPRENTICE, JOURNEYMEN AND CONTRACTOR WORKING GROUP.</w:t>
      </w:r>
      <w:proofErr w:type="gramEnd"/>
      <w:r w:rsidRPr="00651A87">
        <w:rPr>
          <w:b/>
          <w:bCs/>
          <w:i/>
          <w:iCs/>
        </w:rPr>
        <w:t xml:space="preserve"> </w:t>
      </w:r>
    </w:p>
    <w:p w:rsidR="00651A87" w:rsidRPr="00651A87" w:rsidRDefault="00651A87" w:rsidP="00651A87">
      <w:pPr>
        <w:rPr>
          <w:b/>
          <w:bCs/>
        </w:rPr>
      </w:pPr>
      <w:r w:rsidRPr="00651A87">
        <w:rPr>
          <w:b/>
          <w:bCs/>
        </w:rPr>
        <w:t xml:space="preserve">Be it enacted by the Senate and House of Representatives in General Assembly convened: </w:t>
      </w:r>
    </w:p>
    <w:p w:rsidR="00651A87" w:rsidRPr="00651A87" w:rsidRDefault="00651A87" w:rsidP="00651A87">
      <w:pPr>
        <w:rPr>
          <w:b/>
          <w:bCs/>
        </w:rPr>
      </w:pPr>
      <w:proofErr w:type="gramStart"/>
      <w:r w:rsidRPr="00651A87">
        <w:rPr>
          <w:b/>
          <w:bCs/>
        </w:rPr>
        <w:t>Section 1.</w:t>
      </w:r>
      <w:proofErr w:type="gramEnd"/>
      <w:r w:rsidRPr="00651A87">
        <w:rPr>
          <w:b/>
          <w:bCs/>
        </w:rPr>
        <w:t xml:space="preserve"> (NEW) (</w:t>
      </w:r>
      <w:r w:rsidRPr="00651A87">
        <w:rPr>
          <w:b/>
          <w:bCs/>
          <w:i/>
          <w:iCs/>
        </w:rPr>
        <w:t>Effective from passage</w:t>
      </w:r>
      <w:r w:rsidRPr="00651A87">
        <w:rPr>
          <w:b/>
          <w:bCs/>
        </w:rPr>
        <w:t xml:space="preserve">) (a) There is established a working group to discuss hiring ratios for apprentices, journeymen and contractors and study the hiring ratio relief process. The working group shall meet at least three times annually and shall study and make recommendations related to apprentices, journeymen and contractors. </w:t>
      </w:r>
    </w:p>
    <w:p w:rsidR="00651A87" w:rsidRPr="00651A87" w:rsidRDefault="00651A87" w:rsidP="00651A87">
      <w:pPr>
        <w:rPr>
          <w:b/>
          <w:bCs/>
        </w:rPr>
      </w:pPr>
      <w:r w:rsidRPr="00651A87">
        <w:rPr>
          <w:b/>
          <w:bCs/>
        </w:rPr>
        <w:t xml:space="preserve">(b) The working group shall consist of ten members, and shall be evenly divided between members of the following union and nonunion industry trade groups: The International Brotherhood of Electrical Workers, the Independent Electrical Contractors of New England, the Associated Builders and Contractors of Connecticut, Sheet Metal Local 40, Sprinkler Fitters Local 669, the Connecticut Chapter of American Fire Sprinkler Association, the United Association of Plumbers and Pipefitters Local 777, the Plumbing Heating and Cooling Contractors of Connecticut, the Connecticut Heating and Cooling Contractors and the Connecticut State Building and Construction Trades Council. Each union industry trade group member shall be either the business manager of such group or such business manager's designee from such group. Each nonunion industry trade group member shall be either the president of such group or such president's designee from such group. </w:t>
      </w:r>
    </w:p>
    <w:p w:rsidR="00651A87" w:rsidRPr="00651A87" w:rsidRDefault="00651A87" w:rsidP="00651A87">
      <w:pPr>
        <w:rPr>
          <w:b/>
          <w:bCs/>
        </w:rPr>
      </w:pPr>
      <w:r w:rsidRPr="00651A87">
        <w:rPr>
          <w:b/>
          <w:bCs/>
        </w:rPr>
        <w:t xml:space="preserve">(c) Such members shall be selected as follows: </w:t>
      </w:r>
    </w:p>
    <w:p w:rsidR="00651A87" w:rsidRPr="00651A87" w:rsidRDefault="00651A87" w:rsidP="00651A87">
      <w:pPr>
        <w:rPr>
          <w:b/>
          <w:bCs/>
        </w:rPr>
      </w:pPr>
      <w:r w:rsidRPr="00651A87">
        <w:rPr>
          <w:b/>
          <w:bCs/>
        </w:rPr>
        <w:t xml:space="preserve">(1) Two union members appointed by the speaker of the House of Representatives; </w:t>
      </w:r>
    </w:p>
    <w:p w:rsidR="00651A87" w:rsidRPr="00651A87" w:rsidRDefault="00651A87" w:rsidP="00651A87">
      <w:pPr>
        <w:rPr>
          <w:b/>
          <w:bCs/>
        </w:rPr>
      </w:pPr>
      <w:r w:rsidRPr="00651A87">
        <w:rPr>
          <w:b/>
          <w:bCs/>
        </w:rPr>
        <w:t xml:space="preserve">(2) Two union members appointed by the president pro tempore of the Senate; </w:t>
      </w:r>
    </w:p>
    <w:p w:rsidR="00651A87" w:rsidRPr="00651A87" w:rsidRDefault="00651A87" w:rsidP="00651A87">
      <w:pPr>
        <w:rPr>
          <w:b/>
          <w:bCs/>
        </w:rPr>
      </w:pPr>
      <w:r w:rsidRPr="00651A87">
        <w:rPr>
          <w:b/>
          <w:bCs/>
        </w:rPr>
        <w:t xml:space="preserve">(3) One nonunion member appointed by the majority leader of the House of Representatives; </w:t>
      </w:r>
    </w:p>
    <w:p w:rsidR="00651A87" w:rsidRPr="00651A87" w:rsidRDefault="00651A87" w:rsidP="00651A87">
      <w:pPr>
        <w:rPr>
          <w:b/>
          <w:bCs/>
        </w:rPr>
      </w:pPr>
      <w:r w:rsidRPr="00651A87">
        <w:rPr>
          <w:b/>
          <w:bCs/>
        </w:rPr>
        <w:t xml:space="preserve">(4) One union member appointed by the majority leader of the Senate; </w:t>
      </w:r>
    </w:p>
    <w:p w:rsidR="00651A87" w:rsidRPr="00651A87" w:rsidRDefault="00651A87" w:rsidP="00651A87">
      <w:pPr>
        <w:rPr>
          <w:b/>
          <w:bCs/>
        </w:rPr>
      </w:pPr>
      <w:r w:rsidRPr="00651A87">
        <w:rPr>
          <w:b/>
          <w:bCs/>
        </w:rPr>
        <w:t>(5) Two nonunion members appointed by the minority leader of the House of Representatives; and</w:t>
      </w:r>
    </w:p>
    <w:p w:rsidR="00651A87" w:rsidRPr="00651A87" w:rsidRDefault="00651A87" w:rsidP="00651A87">
      <w:pPr>
        <w:rPr>
          <w:b/>
          <w:bCs/>
        </w:rPr>
      </w:pPr>
      <w:r w:rsidRPr="00651A87">
        <w:rPr>
          <w:b/>
          <w:bCs/>
        </w:rPr>
        <w:t xml:space="preserve">(6) Two nonunion members appointed by the minority leader of the Senate. </w:t>
      </w:r>
    </w:p>
    <w:p w:rsidR="00651A87" w:rsidRPr="00651A87" w:rsidRDefault="00651A87" w:rsidP="00651A87">
      <w:pPr>
        <w:rPr>
          <w:b/>
          <w:bCs/>
        </w:rPr>
      </w:pPr>
      <w:r w:rsidRPr="00651A87">
        <w:rPr>
          <w:b/>
          <w:bCs/>
        </w:rPr>
        <w:lastRenderedPageBreak/>
        <w:t xml:space="preserve">(d) All appointing authorities shall consult with the chairpersons and ranking members of the joint standing committee of the General Assembly having cognizance of matters relating to the Department of Consumer Protection prior to making any appointments pursuant to this section. </w:t>
      </w:r>
    </w:p>
    <w:p w:rsidR="00651A87" w:rsidRPr="00651A87" w:rsidRDefault="00651A87" w:rsidP="00651A87">
      <w:pPr>
        <w:rPr>
          <w:b/>
          <w:bCs/>
        </w:rPr>
      </w:pPr>
      <w:r w:rsidRPr="00651A87">
        <w:rPr>
          <w:b/>
          <w:bCs/>
        </w:rPr>
        <w:t xml:space="preserve">(e) All appointments to the working group shall be made not later than thirty days after the effective date of this section. Any vacancy shall be filled by the appointing authority. </w:t>
      </w:r>
    </w:p>
    <w:p w:rsidR="00651A87" w:rsidRPr="00651A87" w:rsidRDefault="00651A87" w:rsidP="00651A87">
      <w:pPr>
        <w:rPr>
          <w:b/>
          <w:bCs/>
        </w:rPr>
      </w:pPr>
      <w:r w:rsidRPr="00651A87">
        <w:rPr>
          <w:b/>
          <w:bCs/>
        </w:rPr>
        <w:t xml:space="preserve">(f) The members of the working group shall select the chairpersons of the working group from among the members of the group. One chairperson shall be a union member and one chairperson shall be a nonunion member. Such chairpersons shall schedule the first meeting of the working group. </w:t>
      </w:r>
    </w:p>
    <w:p w:rsidR="00651A87" w:rsidRPr="00651A87" w:rsidRDefault="00651A87" w:rsidP="00651A87">
      <w:pPr>
        <w:rPr>
          <w:b/>
          <w:bCs/>
        </w:rPr>
      </w:pPr>
      <w:r w:rsidRPr="00651A87">
        <w:rPr>
          <w:b/>
          <w:bCs/>
        </w:rPr>
        <w:t xml:space="preserve">(g) The administrative staff of the joint standing committee of the General Assembly having cognizance of matters relating to the Department of Consumer Protection shall serve as administrative staff of the working group. </w:t>
      </w:r>
    </w:p>
    <w:p w:rsidR="00651A87" w:rsidRPr="00651A87" w:rsidRDefault="00651A87" w:rsidP="00651A87">
      <w:pPr>
        <w:rPr>
          <w:b/>
          <w:bCs/>
        </w:rPr>
      </w:pPr>
      <w:r w:rsidRPr="00651A87">
        <w:rPr>
          <w:b/>
          <w:bCs/>
        </w:rPr>
        <w:t xml:space="preserve">(h) Not later than December 1, 2017, and annually thereafter, the working group shall submit a report on its recommendations to the joint standing committee of the General Assembly having cognizance of matters relating to the Department of Consumer Protection, in accordance with the provisions of section 11-4a of the general statutes. </w:t>
      </w:r>
    </w:p>
    <w:p w:rsidR="00651A87" w:rsidRDefault="00651A87" w:rsidP="00651A87">
      <w:pPr>
        <w:rPr>
          <w:b/>
          <w:bCs/>
        </w:rPr>
      </w:pPr>
    </w:p>
    <w:p w:rsidR="00E752BE" w:rsidRDefault="00E752BE" w:rsidP="00651A87">
      <w:pPr>
        <w:rPr>
          <w:b/>
          <w:bCs/>
        </w:rPr>
      </w:pPr>
    </w:p>
    <w:p w:rsidR="00E752BE" w:rsidRDefault="00E752BE" w:rsidP="00651A87">
      <w:pPr>
        <w:rPr>
          <w:b/>
          <w:bCs/>
        </w:rPr>
      </w:pPr>
    </w:p>
    <w:p w:rsidR="00E752BE" w:rsidRDefault="00E752BE" w:rsidP="00651A87">
      <w:pPr>
        <w:rPr>
          <w:b/>
          <w:bCs/>
        </w:rPr>
      </w:pPr>
    </w:p>
    <w:p w:rsidR="00E752BE" w:rsidRDefault="00E752BE" w:rsidP="00651A87">
      <w:pPr>
        <w:rPr>
          <w:b/>
          <w:bCs/>
        </w:rPr>
      </w:pPr>
    </w:p>
    <w:p w:rsidR="00E752BE" w:rsidRDefault="00E752BE" w:rsidP="00651A87">
      <w:pPr>
        <w:rPr>
          <w:b/>
          <w:bCs/>
        </w:rPr>
      </w:pPr>
    </w:p>
    <w:p w:rsidR="00E752BE" w:rsidRDefault="00E752BE" w:rsidP="00651A87">
      <w:pPr>
        <w:rPr>
          <w:b/>
          <w:bCs/>
        </w:rPr>
      </w:pPr>
    </w:p>
    <w:p w:rsidR="00651A87" w:rsidRPr="00651A87" w:rsidRDefault="00651A87" w:rsidP="00651A87">
      <w:pPr>
        <w:rPr>
          <w:b/>
          <w:bCs/>
        </w:rPr>
      </w:pPr>
      <w:proofErr w:type="gramStart"/>
      <w:r w:rsidRPr="00651A87">
        <w:rPr>
          <w:b/>
          <w:bCs/>
        </w:rPr>
        <w:t>Sec. 2.</w:t>
      </w:r>
      <w:proofErr w:type="gramEnd"/>
      <w:r w:rsidRPr="00651A87">
        <w:rPr>
          <w:b/>
          <w:bCs/>
        </w:rPr>
        <w:t xml:space="preserve"> Section 20-332b of the general statutes is repealed and the following is substituted in lieu thereof (</w:t>
      </w:r>
      <w:r w:rsidRPr="00651A87">
        <w:rPr>
          <w:b/>
          <w:bCs/>
          <w:i/>
          <w:iCs/>
        </w:rPr>
        <w:t>Effective from passage</w:t>
      </w:r>
      <w:r w:rsidRPr="00651A87">
        <w:rPr>
          <w:b/>
          <w:bCs/>
        </w:rPr>
        <w:t xml:space="preserve">): </w:t>
      </w:r>
    </w:p>
    <w:p w:rsidR="00651A87" w:rsidRPr="00651A87" w:rsidRDefault="00651A87" w:rsidP="00651A87">
      <w:pPr>
        <w:rPr>
          <w:b/>
          <w:bCs/>
        </w:rPr>
      </w:pPr>
      <w:r w:rsidRPr="00651A87">
        <w:rPr>
          <w:b/>
          <w:bCs/>
        </w:rPr>
        <w:t xml:space="preserve">The Commissioner of Consumer Protection shall amend existing regulations of Connecticut </w:t>
      </w:r>
      <w:proofErr w:type="gramStart"/>
      <w:r w:rsidRPr="00651A87">
        <w:rPr>
          <w:b/>
          <w:bCs/>
        </w:rPr>
        <w:t>state</w:t>
      </w:r>
      <w:proofErr w:type="gramEnd"/>
      <w:r w:rsidRPr="00651A87">
        <w:rPr>
          <w:b/>
          <w:bCs/>
        </w:rPr>
        <w:t xml:space="preserve"> agencies adopted pursuant to section 20-332 to specify the following allowable hiring ratios regarding apprentices, journeymen and contractors for the following trades: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5"/>
      </w:tblGrid>
      <w:tr w:rsidR="00651A87" w:rsidRPr="00651A87" w:rsidTr="003A1820">
        <w:trPr>
          <w:tblCellSpacing w:w="15" w:type="dxa"/>
        </w:trPr>
        <w:tc>
          <w:tcPr>
            <w:tcW w:w="6915" w:type="dxa"/>
            <w:hideMark/>
          </w:tcPr>
          <w:p w:rsidR="00651A87" w:rsidRPr="00651A87" w:rsidRDefault="00651A87" w:rsidP="003A1820">
            <w:pPr>
              <w:rPr>
                <w:b/>
                <w:bCs/>
              </w:rPr>
            </w:pPr>
            <w:r w:rsidRPr="00651A87">
              <w:rPr>
                <w:b/>
                <w:bCs/>
              </w:rPr>
              <w:t>Electrical, Plumbing, Heating, Piping and Cooling,</w:t>
            </w:r>
          </w:p>
        </w:tc>
      </w:tr>
      <w:tr w:rsidR="00651A87" w:rsidRPr="00651A87" w:rsidTr="003A1820">
        <w:trPr>
          <w:tblCellSpacing w:w="15" w:type="dxa"/>
        </w:trPr>
        <w:tc>
          <w:tcPr>
            <w:tcW w:w="6915" w:type="dxa"/>
            <w:hideMark/>
          </w:tcPr>
          <w:p w:rsidR="00651A87" w:rsidRPr="00651A87" w:rsidRDefault="00651A87" w:rsidP="003A1820">
            <w:pPr>
              <w:rPr>
                <w:b/>
                <w:bCs/>
              </w:rPr>
            </w:pPr>
            <w:r w:rsidRPr="00651A87">
              <w:rPr>
                <w:b/>
                <w:bCs/>
              </w:rPr>
              <w:t>Sprinkler Fitter and Sheet Metal Work</w:t>
            </w:r>
          </w:p>
          <w:p w:rsidR="00651A87" w:rsidRPr="00651A87" w:rsidRDefault="00651A87" w:rsidP="003A1820">
            <w:pPr>
              <w:rPr>
                <w:b/>
                <w:bCs/>
              </w:rPr>
            </w:pPr>
          </w:p>
        </w:tc>
      </w:tr>
    </w:tbl>
    <w:p w:rsidR="00651A87" w:rsidRDefault="00651A87" w:rsidP="00651A87">
      <w:pPr>
        <w:rPr>
          <w:b/>
          <w:bCs/>
        </w:rPr>
      </w:pPr>
    </w:p>
    <w:tbl>
      <w:tblPr>
        <w:tblStyle w:val="TableGrid"/>
        <w:tblpPr w:leftFromText="180" w:rightFromText="180" w:vertAnchor="page" w:horzAnchor="margin" w:tblpY="2206"/>
        <w:tblW w:w="96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40"/>
        <w:gridCol w:w="4841"/>
      </w:tblGrid>
      <w:tr w:rsidR="00651A87" w:rsidTr="003A1820">
        <w:trPr>
          <w:trHeight w:val="455"/>
        </w:trPr>
        <w:tc>
          <w:tcPr>
            <w:tcW w:w="4840" w:type="dxa"/>
            <w:shd w:val="clear" w:color="auto" w:fill="FDE9D9" w:themeFill="accent6" w:themeFillTint="33"/>
          </w:tcPr>
          <w:p w:rsidR="00651A87" w:rsidRPr="00960C2D" w:rsidRDefault="00651A87" w:rsidP="003A1820">
            <w:pPr>
              <w:jc w:val="center"/>
              <w:rPr>
                <w:b/>
                <w:sz w:val="28"/>
                <w:szCs w:val="28"/>
              </w:rPr>
            </w:pPr>
            <w:r w:rsidRPr="00960C2D">
              <w:rPr>
                <w:b/>
                <w:sz w:val="28"/>
                <w:szCs w:val="28"/>
              </w:rPr>
              <w:t>Apprentice(s)</w:t>
            </w:r>
          </w:p>
        </w:tc>
        <w:tc>
          <w:tcPr>
            <w:tcW w:w="4841" w:type="dxa"/>
            <w:shd w:val="clear" w:color="auto" w:fill="FDE9D9" w:themeFill="accent6" w:themeFillTint="33"/>
          </w:tcPr>
          <w:p w:rsidR="00651A87" w:rsidRPr="00960C2D" w:rsidRDefault="00651A87" w:rsidP="003A1820">
            <w:pPr>
              <w:jc w:val="center"/>
              <w:rPr>
                <w:b/>
                <w:sz w:val="28"/>
                <w:szCs w:val="28"/>
              </w:rPr>
            </w:pPr>
            <w:r w:rsidRPr="00960C2D">
              <w:rPr>
                <w:b/>
                <w:sz w:val="28"/>
                <w:szCs w:val="28"/>
              </w:rPr>
              <w:t>Journeyperson(s)</w:t>
            </w:r>
          </w:p>
        </w:tc>
      </w:tr>
      <w:tr w:rsidR="00651A87" w:rsidTr="003A1820">
        <w:trPr>
          <w:trHeight w:val="455"/>
        </w:trPr>
        <w:tc>
          <w:tcPr>
            <w:tcW w:w="4840" w:type="dxa"/>
            <w:shd w:val="clear" w:color="auto" w:fill="DBE5F1" w:themeFill="accent1" w:themeFillTint="33"/>
          </w:tcPr>
          <w:p w:rsidR="00651A87" w:rsidRDefault="00651A87" w:rsidP="003A1820">
            <w:pPr>
              <w:jc w:val="center"/>
            </w:pPr>
            <w:r>
              <w:t>1</w:t>
            </w:r>
          </w:p>
        </w:tc>
        <w:tc>
          <w:tcPr>
            <w:tcW w:w="4841" w:type="dxa"/>
            <w:shd w:val="clear" w:color="auto" w:fill="DBE5F1" w:themeFill="accent1" w:themeFillTint="33"/>
          </w:tcPr>
          <w:p w:rsidR="00651A87" w:rsidRDefault="00651A87" w:rsidP="003A1820">
            <w:pPr>
              <w:jc w:val="center"/>
            </w:pPr>
            <w:r>
              <w:t>1</w:t>
            </w:r>
          </w:p>
        </w:tc>
      </w:tr>
      <w:tr w:rsidR="00651A87" w:rsidTr="003A1820">
        <w:trPr>
          <w:trHeight w:val="430"/>
        </w:trPr>
        <w:tc>
          <w:tcPr>
            <w:tcW w:w="4840" w:type="dxa"/>
            <w:shd w:val="clear" w:color="auto" w:fill="DBE5F1" w:themeFill="accent1" w:themeFillTint="33"/>
          </w:tcPr>
          <w:p w:rsidR="00651A87" w:rsidRDefault="00651A87" w:rsidP="003A1820">
            <w:pPr>
              <w:jc w:val="center"/>
            </w:pPr>
            <w:r>
              <w:t>2</w:t>
            </w:r>
          </w:p>
        </w:tc>
        <w:tc>
          <w:tcPr>
            <w:tcW w:w="4841" w:type="dxa"/>
            <w:shd w:val="clear" w:color="auto" w:fill="DBE5F1" w:themeFill="accent1" w:themeFillTint="33"/>
          </w:tcPr>
          <w:p w:rsidR="00651A87" w:rsidRDefault="00651A87" w:rsidP="003A1820">
            <w:pPr>
              <w:jc w:val="center"/>
            </w:pPr>
            <w:r>
              <w:t>2</w:t>
            </w:r>
          </w:p>
        </w:tc>
      </w:tr>
      <w:tr w:rsidR="00651A87" w:rsidTr="003A1820">
        <w:trPr>
          <w:trHeight w:val="455"/>
        </w:trPr>
        <w:tc>
          <w:tcPr>
            <w:tcW w:w="4840" w:type="dxa"/>
            <w:shd w:val="clear" w:color="auto" w:fill="DBE5F1" w:themeFill="accent1" w:themeFillTint="33"/>
          </w:tcPr>
          <w:p w:rsidR="00651A87" w:rsidRDefault="00651A87" w:rsidP="003A1820">
            <w:pPr>
              <w:jc w:val="center"/>
            </w:pPr>
            <w:r>
              <w:t>3</w:t>
            </w:r>
          </w:p>
        </w:tc>
        <w:tc>
          <w:tcPr>
            <w:tcW w:w="4841" w:type="dxa"/>
            <w:shd w:val="clear" w:color="auto" w:fill="DBE5F1" w:themeFill="accent1" w:themeFillTint="33"/>
          </w:tcPr>
          <w:p w:rsidR="00651A87" w:rsidRDefault="00651A87" w:rsidP="003A1820">
            <w:pPr>
              <w:jc w:val="center"/>
            </w:pPr>
            <w:r>
              <w:t>3</w:t>
            </w:r>
          </w:p>
        </w:tc>
      </w:tr>
      <w:tr w:rsidR="00651A87" w:rsidTr="003A1820">
        <w:trPr>
          <w:trHeight w:val="455"/>
        </w:trPr>
        <w:tc>
          <w:tcPr>
            <w:tcW w:w="4840" w:type="dxa"/>
            <w:shd w:val="clear" w:color="auto" w:fill="DBE5F1" w:themeFill="accent1" w:themeFillTint="33"/>
          </w:tcPr>
          <w:p w:rsidR="00651A87" w:rsidRDefault="00651A87" w:rsidP="003A1820">
            <w:pPr>
              <w:jc w:val="center"/>
            </w:pPr>
            <w:r>
              <w:t>4</w:t>
            </w:r>
          </w:p>
        </w:tc>
        <w:tc>
          <w:tcPr>
            <w:tcW w:w="4841" w:type="dxa"/>
            <w:shd w:val="clear" w:color="auto" w:fill="DBE5F1" w:themeFill="accent1" w:themeFillTint="33"/>
          </w:tcPr>
          <w:p w:rsidR="00651A87" w:rsidRDefault="00651A87" w:rsidP="003A1820">
            <w:pPr>
              <w:jc w:val="center"/>
            </w:pPr>
            <w:r>
              <w:t>6</w:t>
            </w:r>
          </w:p>
        </w:tc>
      </w:tr>
      <w:tr w:rsidR="00651A87" w:rsidTr="003A1820">
        <w:trPr>
          <w:trHeight w:val="430"/>
        </w:trPr>
        <w:tc>
          <w:tcPr>
            <w:tcW w:w="4840" w:type="dxa"/>
            <w:shd w:val="clear" w:color="auto" w:fill="DBE5F1" w:themeFill="accent1" w:themeFillTint="33"/>
          </w:tcPr>
          <w:p w:rsidR="00651A87" w:rsidRDefault="00651A87" w:rsidP="003A1820">
            <w:pPr>
              <w:jc w:val="center"/>
            </w:pPr>
            <w:r>
              <w:t>5</w:t>
            </w:r>
          </w:p>
        </w:tc>
        <w:tc>
          <w:tcPr>
            <w:tcW w:w="4841" w:type="dxa"/>
            <w:shd w:val="clear" w:color="auto" w:fill="DBE5F1" w:themeFill="accent1" w:themeFillTint="33"/>
          </w:tcPr>
          <w:p w:rsidR="00651A87" w:rsidRDefault="00651A87" w:rsidP="003A1820">
            <w:pPr>
              <w:jc w:val="center"/>
            </w:pPr>
            <w:r>
              <w:t>9</w:t>
            </w:r>
          </w:p>
        </w:tc>
      </w:tr>
      <w:tr w:rsidR="00651A87" w:rsidTr="003A1820">
        <w:trPr>
          <w:trHeight w:val="455"/>
        </w:trPr>
        <w:tc>
          <w:tcPr>
            <w:tcW w:w="4840" w:type="dxa"/>
            <w:shd w:val="clear" w:color="auto" w:fill="DBE5F1" w:themeFill="accent1" w:themeFillTint="33"/>
          </w:tcPr>
          <w:p w:rsidR="00651A87" w:rsidRDefault="00651A87" w:rsidP="003A1820">
            <w:pPr>
              <w:jc w:val="center"/>
            </w:pPr>
            <w:r>
              <w:t>6</w:t>
            </w:r>
          </w:p>
        </w:tc>
        <w:tc>
          <w:tcPr>
            <w:tcW w:w="4841" w:type="dxa"/>
            <w:shd w:val="clear" w:color="auto" w:fill="DBE5F1" w:themeFill="accent1" w:themeFillTint="33"/>
          </w:tcPr>
          <w:p w:rsidR="00651A87" w:rsidRDefault="00651A87" w:rsidP="003A1820">
            <w:pPr>
              <w:jc w:val="center"/>
            </w:pPr>
            <w:r>
              <w:t>12</w:t>
            </w:r>
          </w:p>
        </w:tc>
      </w:tr>
      <w:tr w:rsidR="00651A87" w:rsidTr="003A1820">
        <w:trPr>
          <w:trHeight w:val="430"/>
        </w:trPr>
        <w:tc>
          <w:tcPr>
            <w:tcW w:w="4840" w:type="dxa"/>
            <w:shd w:val="clear" w:color="auto" w:fill="DBE5F1" w:themeFill="accent1" w:themeFillTint="33"/>
          </w:tcPr>
          <w:p w:rsidR="00651A87" w:rsidRDefault="00651A87" w:rsidP="003A1820">
            <w:pPr>
              <w:jc w:val="center"/>
            </w:pPr>
            <w:r>
              <w:t>7</w:t>
            </w:r>
          </w:p>
        </w:tc>
        <w:tc>
          <w:tcPr>
            <w:tcW w:w="4841" w:type="dxa"/>
            <w:shd w:val="clear" w:color="auto" w:fill="DBE5F1" w:themeFill="accent1" w:themeFillTint="33"/>
          </w:tcPr>
          <w:p w:rsidR="00651A87" w:rsidRDefault="00651A87" w:rsidP="003A1820">
            <w:pPr>
              <w:jc w:val="center"/>
            </w:pPr>
            <w:r>
              <w:t>15</w:t>
            </w:r>
          </w:p>
        </w:tc>
      </w:tr>
      <w:tr w:rsidR="00651A87" w:rsidTr="003A1820">
        <w:trPr>
          <w:trHeight w:val="455"/>
        </w:trPr>
        <w:tc>
          <w:tcPr>
            <w:tcW w:w="4840" w:type="dxa"/>
            <w:shd w:val="clear" w:color="auto" w:fill="DBE5F1" w:themeFill="accent1" w:themeFillTint="33"/>
          </w:tcPr>
          <w:p w:rsidR="00651A87" w:rsidRDefault="00651A87" w:rsidP="003A1820">
            <w:pPr>
              <w:jc w:val="center"/>
            </w:pPr>
            <w:r>
              <w:t>8</w:t>
            </w:r>
          </w:p>
        </w:tc>
        <w:tc>
          <w:tcPr>
            <w:tcW w:w="4841" w:type="dxa"/>
            <w:shd w:val="clear" w:color="auto" w:fill="DBE5F1" w:themeFill="accent1" w:themeFillTint="33"/>
          </w:tcPr>
          <w:p w:rsidR="00651A87" w:rsidRDefault="00651A87" w:rsidP="003A1820">
            <w:pPr>
              <w:jc w:val="center"/>
            </w:pPr>
            <w:r>
              <w:t>18</w:t>
            </w:r>
          </w:p>
        </w:tc>
      </w:tr>
      <w:tr w:rsidR="00651A87" w:rsidTr="003A1820">
        <w:trPr>
          <w:trHeight w:val="430"/>
        </w:trPr>
        <w:tc>
          <w:tcPr>
            <w:tcW w:w="4840" w:type="dxa"/>
            <w:shd w:val="clear" w:color="auto" w:fill="DBE5F1" w:themeFill="accent1" w:themeFillTint="33"/>
          </w:tcPr>
          <w:p w:rsidR="00651A87" w:rsidRDefault="00651A87" w:rsidP="003A1820">
            <w:pPr>
              <w:jc w:val="center"/>
            </w:pPr>
            <w:r>
              <w:t>9</w:t>
            </w:r>
          </w:p>
        </w:tc>
        <w:tc>
          <w:tcPr>
            <w:tcW w:w="4841" w:type="dxa"/>
            <w:shd w:val="clear" w:color="auto" w:fill="DBE5F1" w:themeFill="accent1" w:themeFillTint="33"/>
          </w:tcPr>
          <w:p w:rsidR="00651A87" w:rsidRDefault="00651A87" w:rsidP="003A1820">
            <w:pPr>
              <w:jc w:val="center"/>
            </w:pPr>
            <w:r>
              <w:t>21</w:t>
            </w:r>
          </w:p>
        </w:tc>
      </w:tr>
      <w:tr w:rsidR="00651A87" w:rsidTr="003A1820">
        <w:trPr>
          <w:trHeight w:val="455"/>
        </w:trPr>
        <w:tc>
          <w:tcPr>
            <w:tcW w:w="4840" w:type="dxa"/>
            <w:shd w:val="clear" w:color="auto" w:fill="DBE5F1" w:themeFill="accent1" w:themeFillTint="33"/>
          </w:tcPr>
          <w:p w:rsidR="00651A87" w:rsidRDefault="00651A87" w:rsidP="003A1820">
            <w:pPr>
              <w:jc w:val="center"/>
            </w:pPr>
            <w:r>
              <w:t>10</w:t>
            </w:r>
          </w:p>
        </w:tc>
        <w:tc>
          <w:tcPr>
            <w:tcW w:w="4841" w:type="dxa"/>
            <w:shd w:val="clear" w:color="auto" w:fill="DBE5F1" w:themeFill="accent1" w:themeFillTint="33"/>
          </w:tcPr>
          <w:p w:rsidR="00651A87" w:rsidRDefault="00651A87" w:rsidP="003A1820">
            <w:pPr>
              <w:jc w:val="center"/>
            </w:pPr>
            <w:r>
              <w:t>24</w:t>
            </w:r>
          </w:p>
        </w:tc>
      </w:tr>
      <w:tr w:rsidR="00651A87" w:rsidTr="003A1820">
        <w:trPr>
          <w:trHeight w:val="455"/>
        </w:trPr>
        <w:tc>
          <w:tcPr>
            <w:tcW w:w="4840" w:type="dxa"/>
            <w:shd w:val="clear" w:color="auto" w:fill="DBE5F1" w:themeFill="accent1" w:themeFillTint="33"/>
          </w:tcPr>
          <w:p w:rsidR="00651A87" w:rsidRDefault="00651A87" w:rsidP="003A1820">
            <w:pPr>
              <w:jc w:val="center"/>
            </w:pPr>
            <w:r>
              <w:t>11</w:t>
            </w:r>
          </w:p>
        </w:tc>
        <w:tc>
          <w:tcPr>
            <w:tcW w:w="4841" w:type="dxa"/>
            <w:shd w:val="clear" w:color="auto" w:fill="DBE5F1" w:themeFill="accent1" w:themeFillTint="33"/>
          </w:tcPr>
          <w:p w:rsidR="00651A87" w:rsidRDefault="00651A87" w:rsidP="003A1820">
            <w:pPr>
              <w:jc w:val="center"/>
            </w:pPr>
            <w:r>
              <w:t>27</w:t>
            </w:r>
          </w:p>
        </w:tc>
      </w:tr>
      <w:tr w:rsidR="00651A87" w:rsidTr="003A1820">
        <w:trPr>
          <w:trHeight w:val="455"/>
        </w:trPr>
        <w:tc>
          <w:tcPr>
            <w:tcW w:w="4840" w:type="dxa"/>
            <w:shd w:val="clear" w:color="auto" w:fill="DBE5F1" w:themeFill="accent1" w:themeFillTint="33"/>
          </w:tcPr>
          <w:p w:rsidR="00651A87" w:rsidRDefault="00651A87" w:rsidP="003A1820">
            <w:pPr>
              <w:jc w:val="center"/>
            </w:pPr>
            <w:r>
              <w:t>12</w:t>
            </w:r>
          </w:p>
        </w:tc>
        <w:tc>
          <w:tcPr>
            <w:tcW w:w="4841" w:type="dxa"/>
            <w:shd w:val="clear" w:color="auto" w:fill="DBE5F1" w:themeFill="accent1" w:themeFillTint="33"/>
          </w:tcPr>
          <w:p w:rsidR="00651A87" w:rsidRDefault="00651A87" w:rsidP="003A1820">
            <w:pPr>
              <w:jc w:val="center"/>
            </w:pPr>
            <w:r>
              <w:t>30</w:t>
            </w:r>
          </w:p>
        </w:tc>
      </w:tr>
      <w:tr w:rsidR="00651A87" w:rsidTr="003A1820">
        <w:trPr>
          <w:trHeight w:val="455"/>
        </w:trPr>
        <w:tc>
          <w:tcPr>
            <w:tcW w:w="4840" w:type="dxa"/>
            <w:shd w:val="clear" w:color="auto" w:fill="DBE5F1" w:themeFill="accent1" w:themeFillTint="33"/>
          </w:tcPr>
          <w:p w:rsidR="00651A87" w:rsidRDefault="00651A87" w:rsidP="003A1820">
            <w:pPr>
              <w:jc w:val="center"/>
            </w:pPr>
            <w:r>
              <w:t>13</w:t>
            </w:r>
          </w:p>
        </w:tc>
        <w:tc>
          <w:tcPr>
            <w:tcW w:w="4841" w:type="dxa"/>
            <w:shd w:val="clear" w:color="auto" w:fill="DBE5F1" w:themeFill="accent1" w:themeFillTint="33"/>
          </w:tcPr>
          <w:p w:rsidR="00651A87" w:rsidRDefault="00651A87" w:rsidP="003A1820">
            <w:pPr>
              <w:jc w:val="center"/>
            </w:pPr>
            <w:r>
              <w:t>33</w:t>
            </w:r>
          </w:p>
        </w:tc>
      </w:tr>
      <w:tr w:rsidR="00651A87" w:rsidTr="003A1820">
        <w:trPr>
          <w:trHeight w:val="455"/>
        </w:trPr>
        <w:tc>
          <w:tcPr>
            <w:tcW w:w="4840" w:type="dxa"/>
            <w:shd w:val="clear" w:color="auto" w:fill="DBE5F1" w:themeFill="accent1" w:themeFillTint="33"/>
          </w:tcPr>
          <w:p w:rsidR="00651A87" w:rsidRDefault="00651A87" w:rsidP="003A1820">
            <w:pPr>
              <w:jc w:val="center"/>
            </w:pPr>
            <w:r>
              <w:t>14</w:t>
            </w:r>
          </w:p>
        </w:tc>
        <w:tc>
          <w:tcPr>
            <w:tcW w:w="4841" w:type="dxa"/>
            <w:shd w:val="clear" w:color="auto" w:fill="DBE5F1" w:themeFill="accent1" w:themeFillTint="33"/>
          </w:tcPr>
          <w:p w:rsidR="00651A87" w:rsidRDefault="00651A87" w:rsidP="003A1820">
            <w:pPr>
              <w:jc w:val="center"/>
            </w:pPr>
            <w:r>
              <w:t>36</w:t>
            </w:r>
          </w:p>
        </w:tc>
      </w:tr>
      <w:tr w:rsidR="00651A87" w:rsidTr="003A1820">
        <w:trPr>
          <w:trHeight w:val="455"/>
        </w:trPr>
        <w:tc>
          <w:tcPr>
            <w:tcW w:w="4840" w:type="dxa"/>
            <w:shd w:val="clear" w:color="auto" w:fill="DBE5F1" w:themeFill="accent1" w:themeFillTint="33"/>
          </w:tcPr>
          <w:p w:rsidR="00651A87" w:rsidRDefault="00651A87" w:rsidP="003A1820">
            <w:pPr>
              <w:jc w:val="center"/>
            </w:pPr>
            <w:r>
              <w:t>15</w:t>
            </w:r>
          </w:p>
        </w:tc>
        <w:tc>
          <w:tcPr>
            <w:tcW w:w="4841" w:type="dxa"/>
            <w:shd w:val="clear" w:color="auto" w:fill="DBE5F1" w:themeFill="accent1" w:themeFillTint="33"/>
          </w:tcPr>
          <w:p w:rsidR="00651A87" w:rsidRDefault="00651A87" w:rsidP="003A1820">
            <w:pPr>
              <w:jc w:val="center"/>
            </w:pPr>
            <w:r>
              <w:t>39</w:t>
            </w:r>
          </w:p>
        </w:tc>
      </w:tr>
      <w:tr w:rsidR="00651A87" w:rsidTr="003A1820">
        <w:trPr>
          <w:trHeight w:val="455"/>
        </w:trPr>
        <w:tc>
          <w:tcPr>
            <w:tcW w:w="4840" w:type="dxa"/>
            <w:shd w:val="clear" w:color="auto" w:fill="DBE5F1" w:themeFill="accent1" w:themeFillTint="33"/>
          </w:tcPr>
          <w:p w:rsidR="00651A87" w:rsidRDefault="00651A87" w:rsidP="003A1820">
            <w:pPr>
              <w:jc w:val="center"/>
            </w:pPr>
            <w:r>
              <w:t>16</w:t>
            </w:r>
          </w:p>
        </w:tc>
        <w:tc>
          <w:tcPr>
            <w:tcW w:w="4841" w:type="dxa"/>
            <w:shd w:val="clear" w:color="auto" w:fill="DBE5F1" w:themeFill="accent1" w:themeFillTint="33"/>
          </w:tcPr>
          <w:p w:rsidR="00651A87" w:rsidRDefault="00651A87" w:rsidP="003A1820">
            <w:pPr>
              <w:jc w:val="center"/>
            </w:pPr>
            <w:r>
              <w:t>42</w:t>
            </w:r>
          </w:p>
        </w:tc>
      </w:tr>
      <w:tr w:rsidR="00651A87" w:rsidTr="003A1820">
        <w:trPr>
          <w:trHeight w:val="455"/>
        </w:trPr>
        <w:tc>
          <w:tcPr>
            <w:tcW w:w="4840" w:type="dxa"/>
            <w:shd w:val="clear" w:color="auto" w:fill="DBE5F1" w:themeFill="accent1" w:themeFillTint="33"/>
          </w:tcPr>
          <w:p w:rsidR="00651A87" w:rsidRDefault="00651A87" w:rsidP="003A1820">
            <w:pPr>
              <w:jc w:val="center"/>
            </w:pPr>
            <w:r>
              <w:t>17</w:t>
            </w:r>
          </w:p>
        </w:tc>
        <w:tc>
          <w:tcPr>
            <w:tcW w:w="4841" w:type="dxa"/>
            <w:shd w:val="clear" w:color="auto" w:fill="DBE5F1" w:themeFill="accent1" w:themeFillTint="33"/>
          </w:tcPr>
          <w:p w:rsidR="00651A87" w:rsidRDefault="00651A87" w:rsidP="003A1820">
            <w:pPr>
              <w:jc w:val="center"/>
            </w:pPr>
            <w:r>
              <w:t>45</w:t>
            </w:r>
          </w:p>
        </w:tc>
      </w:tr>
      <w:tr w:rsidR="00651A87" w:rsidTr="003A1820">
        <w:trPr>
          <w:trHeight w:val="455"/>
        </w:trPr>
        <w:tc>
          <w:tcPr>
            <w:tcW w:w="4840" w:type="dxa"/>
            <w:shd w:val="clear" w:color="auto" w:fill="DBE5F1" w:themeFill="accent1" w:themeFillTint="33"/>
          </w:tcPr>
          <w:p w:rsidR="00651A87" w:rsidRDefault="00651A87" w:rsidP="003A1820">
            <w:pPr>
              <w:jc w:val="center"/>
            </w:pPr>
            <w:r>
              <w:t>18</w:t>
            </w:r>
          </w:p>
        </w:tc>
        <w:tc>
          <w:tcPr>
            <w:tcW w:w="4841" w:type="dxa"/>
            <w:shd w:val="clear" w:color="auto" w:fill="DBE5F1" w:themeFill="accent1" w:themeFillTint="33"/>
          </w:tcPr>
          <w:p w:rsidR="00651A87" w:rsidRDefault="00651A87" w:rsidP="003A1820">
            <w:pPr>
              <w:jc w:val="center"/>
            </w:pPr>
            <w:r>
              <w:t>48</w:t>
            </w:r>
          </w:p>
        </w:tc>
      </w:tr>
      <w:tr w:rsidR="00651A87" w:rsidTr="003A1820">
        <w:trPr>
          <w:trHeight w:val="455"/>
        </w:trPr>
        <w:tc>
          <w:tcPr>
            <w:tcW w:w="4840" w:type="dxa"/>
            <w:shd w:val="clear" w:color="auto" w:fill="DBE5F1" w:themeFill="accent1" w:themeFillTint="33"/>
          </w:tcPr>
          <w:p w:rsidR="00651A87" w:rsidRDefault="00651A87" w:rsidP="003A1820">
            <w:pPr>
              <w:jc w:val="center"/>
            </w:pPr>
            <w:r>
              <w:t>19</w:t>
            </w:r>
          </w:p>
        </w:tc>
        <w:tc>
          <w:tcPr>
            <w:tcW w:w="4841" w:type="dxa"/>
            <w:shd w:val="clear" w:color="auto" w:fill="DBE5F1" w:themeFill="accent1" w:themeFillTint="33"/>
          </w:tcPr>
          <w:p w:rsidR="00651A87" w:rsidRDefault="00651A87" w:rsidP="003A1820">
            <w:pPr>
              <w:jc w:val="center"/>
            </w:pPr>
            <w:r>
              <w:t>51</w:t>
            </w:r>
          </w:p>
        </w:tc>
      </w:tr>
      <w:tr w:rsidR="00651A87" w:rsidTr="003A1820">
        <w:trPr>
          <w:trHeight w:val="455"/>
        </w:trPr>
        <w:tc>
          <w:tcPr>
            <w:tcW w:w="4840" w:type="dxa"/>
            <w:shd w:val="clear" w:color="auto" w:fill="DBE5F1" w:themeFill="accent1" w:themeFillTint="33"/>
          </w:tcPr>
          <w:p w:rsidR="00651A87" w:rsidRDefault="00651A87" w:rsidP="003A1820">
            <w:pPr>
              <w:jc w:val="center"/>
            </w:pPr>
            <w:r>
              <w:t>20</w:t>
            </w:r>
          </w:p>
        </w:tc>
        <w:tc>
          <w:tcPr>
            <w:tcW w:w="4841" w:type="dxa"/>
            <w:shd w:val="clear" w:color="auto" w:fill="DBE5F1" w:themeFill="accent1" w:themeFillTint="33"/>
          </w:tcPr>
          <w:p w:rsidR="00651A87" w:rsidRDefault="00651A87" w:rsidP="003A1820">
            <w:pPr>
              <w:jc w:val="center"/>
            </w:pPr>
            <w:r>
              <w:t>54</w:t>
            </w:r>
          </w:p>
        </w:tc>
      </w:tr>
      <w:tr w:rsidR="00651A87" w:rsidTr="003A1820">
        <w:trPr>
          <w:trHeight w:val="455"/>
        </w:trPr>
        <w:tc>
          <w:tcPr>
            <w:tcW w:w="4840" w:type="dxa"/>
            <w:shd w:val="clear" w:color="auto" w:fill="DBE5F1" w:themeFill="accent1" w:themeFillTint="33"/>
          </w:tcPr>
          <w:p w:rsidR="00651A87" w:rsidRDefault="00651A87" w:rsidP="003A1820">
            <w:pPr>
              <w:jc w:val="center"/>
            </w:pPr>
            <w:r>
              <w:t>21</w:t>
            </w:r>
          </w:p>
        </w:tc>
        <w:tc>
          <w:tcPr>
            <w:tcW w:w="4841" w:type="dxa"/>
            <w:shd w:val="clear" w:color="auto" w:fill="DBE5F1" w:themeFill="accent1" w:themeFillTint="33"/>
          </w:tcPr>
          <w:p w:rsidR="00651A87" w:rsidRDefault="00651A87" w:rsidP="003A1820">
            <w:pPr>
              <w:jc w:val="center"/>
            </w:pPr>
            <w:r>
              <w:t>57</w:t>
            </w:r>
          </w:p>
        </w:tc>
      </w:tr>
      <w:tr w:rsidR="00651A87" w:rsidTr="003A1820">
        <w:trPr>
          <w:trHeight w:val="455"/>
        </w:trPr>
        <w:tc>
          <w:tcPr>
            <w:tcW w:w="4840" w:type="dxa"/>
            <w:shd w:val="clear" w:color="auto" w:fill="DBE5F1" w:themeFill="accent1" w:themeFillTint="33"/>
          </w:tcPr>
          <w:p w:rsidR="00651A87" w:rsidRDefault="00651A87" w:rsidP="003A1820">
            <w:pPr>
              <w:jc w:val="center"/>
            </w:pPr>
            <w:r>
              <w:t>22</w:t>
            </w:r>
          </w:p>
        </w:tc>
        <w:tc>
          <w:tcPr>
            <w:tcW w:w="4841" w:type="dxa"/>
            <w:shd w:val="clear" w:color="auto" w:fill="DBE5F1" w:themeFill="accent1" w:themeFillTint="33"/>
          </w:tcPr>
          <w:p w:rsidR="00651A87" w:rsidRDefault="00651A87" w:rsidP="003A1820">
            <w:pPr>
              <w:jc w:val="center"/>
            </w:pPr>
            <w:r>
              <w:t>60</w:t>
            </w:r>
          </w:p>
        </w:tc>
      </w:tr>
      <w:tr w:rsidR="00651A87" w:rsidTr="003A1820">
        <w:trPr>
          <w:trHeight w:val="455"/>
        </w:trPr>
        <w:tc>
          <w:tcPr>
            <w:tcW w:w="4840" w:type="dxa"/>
            <w:shd w:val="clear" w:color="auto" w:fill="DBE5F1" w:themeFill="accent1" w:themeFillTint="33"/>
          </w:tcPr>
          <w:p w:rsidR="00651A87" w:rsidRDefault="00651A87" w:rsidP="003A1820">
            <w:pPr>
              <w:jc w:val="center"/>
            </w:pPr>
            <w:r>
              <w:t>23</w:t>
            </w:r>
          </w:p>
        </w:tc>
        <w:tc>
          <w:tcPr>
            <w:tcW w:w="4841" w:type="dxa"/>
            <w:shd w:val="clear" w:color="auto" w:fill="DBE5F1" w:themeFill="accent1" w:themeFillTint="33"/>
          </w:tcPr>
          <w:p w:rsidR="00651A87" w:rsidRDefault="00651A87" w:rsidP="003A1820">
            <w:pPr>
              <w:jc w:val="center"/>
            </w:pPr>
            <w:r>
              <w:t>63</w:t>
            </w:r>
          </w:p>
        </w:tc>
      </w:tr>
      <w:tr w:rsidR="00651A87" w:rsidTr="003A1820">
        <w:trPr>
          <w:trHeight w:val="455"/>
        </w:trPr>
        <w:tc>
          <w:tcPr>
            <w:tcW w:w="4840" w:type="dxa"/>
            <w:shd w:val="clear" w:color="auto" w:fill="DBE5F1" w:themeFill="accent1" w:themeFillTint="33"/>
          </w:tcPr>
          <w:p w:rsidR="00651A87" w:rsidRDefault="00651A87" w:rsidP="003A1820">
            <w:pPr>
              <w:jc w:val="center"/>
            </w:pPr>
            <w:r>
              <w:t>24</w:t>
            </w:r>
          </w:p>
        </w:tc>
        <w:tc>
          <w:tcPr>
            <w:tcW w:w="4841" w:type="dxa"/>
            <w:shd w:val="clear" w:color="auto" w:fill="DBE5F1" w:themeFill="accent1" w:themeFillTint="33"/>
          </w:tcPr>
          <w:p w:rsidR="00651A87" w:rsidRDefault="00651A87" w:rsidP="003A1820">
            <w:pPr>
              <w:jc w:val="center"/>
            </w:pPr>
            <w:r>
              <w:t>66</w:t>
            </w:r>
          </w:p>
        </w:tc>
      </w:tr>
      <w:tr w:rsidR="00651A87" w:rsidTr="003A1820">
        <w:trPr>
          <w:trHeight w:val="455"/>
        </w:trPr>
        <w:tc>
          <w:tcPr>
            <w:tcW w:w="4840" w:type="dxa"/>
            <w:shd w:val="clear" w:color="auto" w:fill="DBE5F1" w:themeFill="accent1" w:themeFillTint="33"/>
          </w:tcPr>
          <w:p w:rsidR="00651A87" w:rsidRDefault="00651A87" w:rsidP="003A1820">
            <w:pPr>
              <w:jc w:val="center"/>
            </w:pPr>
            <w:r>
              <w:lastRenderedPageBreak/>
              <w:t>25</w:t>
            </w:r>
          </w:p>
        </w:tc>
        <w:tc>
          <w:tcPr>
            <w:tcW w:w="4841" w:type="dxa"/>
            <w:shd w:val="clear" w:color="auto" w:fill="DBE5F1" w:themeFill="accent1" w:themeFillTint="33"/>
          </w:tcPr>
          <w:p w:rsidR="00651A87" w:rsidRDefault="00651A87" w:rsidP="003A1820">
            <w:pPr>
              <w:jc w:val="center"/>
            </w:pPr>
            <w:r>
              <w:t>69</w:t>
            </w:r>
          </w:p>
        </w:tc>
      </w:tr>
      <w:tr w:rsidR="00651A87" w:rsidTr="003A1820">
        <w:trPr>
          <w:trHeight w:val="455"/>
        </w:trPr>
        <w:tc>
          <w:tcPr>
            <w:tcW w:w="4840" w:type="dxa"/>
            <w:shd w:val="clear" w:color="auto" w:fill="DBE5F1" w:themeFill="accent1" w:themeFillTint="33"/>
          </w:tcPr>
          <w:p w:rsidR="00651A87" w:rsidRDefault="00651A87" w:rsidP="003A1820">
            <w:pPr>
              <w:jc w:val="center"/>
            </w:pPr>
            <w:r>
              <w:t>26</w:t>
            </w:r>
          </w:p>
        </w:tc>
        <w:tc>
          <w:tcPr>
            <w:tcW w:w="4841" w:type="dxa"/>
            <w:shd w:val="clear" w:color="auto" w:fill="DBE5F1" w:themeFill="accent1" w:themeFillTint="33"/>
          </w:tcPr>
          <w:p w:rsidR="00651A87" w:rsidRDefault="00651A87" w:rsidP="003A1820">
            <w:pPr>
              <w:jc w:val="center"/>
            </w:pPr>
            <w:r>
              <w:t>72</w:t>
            </w:r>
          </w:p>
        </w:tc>
      </w:tr>
      <w:tr w:rsidR="00651A87" w:rsidTr="003A1820">
        <w:trPr>
          <w:trHeight w:val="455"/>
        </w:trPr>
        <w:tc>
          <w:tcPr>
            <w:tcW w:w="4840" w:type="dxa"/>
            <w:shd w:val="clear" w:color="auto" w:fill="DBE5F1" w:themeFill="accent1" w:themeFillTint="33"/>
          </w:tcPr>
          <w:p w:rsidR="00651A87" w:rsidRDefault="00651A87" w:rsidP="003A1820">
            <w:pPr>
              <w:jc w:val="center"/>
            </w:pPr>
            <w:r>
              <w:t>27</w:t>
            </w:r>
          </w:p>
        </w:tc>
        <w:tc>
          <w:tcPr>
            <w:tcW w:w="4841" w:type="dxa"/>
            <w:shd w:val="clear" w:color="auto" w:fill="DBE5F1" w:themeFill="accent1" w:themeFillTint="33"/>
          </w:tcPr>
          <w:p w:rsidR="00651A87" w:rsidRDefault="00651A87" w:rsidP="003A1820">
            <w:pPr>
              <w:jc w:val="center"/>
            </w:pPr>
            <w:r>
              <w:t>75</w:t>
            </w:r>
          </w:p>
        </w:tc>
      </w:tr>
      <w:tr w:rsidR="00651A87" w:rsidTr="003A1820">
        <w:trPr>
          <w:trHeight w:val="455"/>
        </w:trPr>
        <w:tc>
          <w:tcPr>
            <w:tcW w:w="4840" w:type="dxa"/>
            <w:shd w:val="clear" w:color="auto" w:fill="DBE5F1" w:themeFill="accent1" w:themeFillTint="33"/>
          </w:tcPr>
          <w:p w:rsidR="00651A87" w:rsidRDefault="00651A87" w:rsidP="003A1820">
            <w:pPr>
              <w:jc w:val="center"/>
            </w:pPr>
            <w:r>
              <w:t>28</w:t>
            </w:r>
          </w:p>
        </w:tc>
        <w:tc>
          <w:tcPr>
            <w:tcW w:w="4841" w:type="dxa"/>
            <w:shd w:val="clear" w:color="auto" w:fill="DBE5F1" w:themeFill="accent1" w:themeFillTint="33"/>
          </w:tcPr>
          <w:p w:rsidR="00651A87" w:rsidRDefault="00651A87" w:rsidP="003A1820">
            <w:pPr>
              <w:jc w:val="center"/>
            </w:pPr>
            <w:r>
              <w:t>78</w:t>
            </w:r>
          </w:p>
        </w:tc>
      </w:tr>
      <w:tr w:rsidR="00651A87" w:rsidTr="003A1820">
        <w:trPr>
          <w:trHeight w:val="455"/>
        </w:trPr>
        <w:tc>
          <w:tcPr>
            <w:tcW w:w="4840" w:type="dxa"/>
            <w:shd w:val="clear" w:color="auto" w:fill="DBE5F1" w:themeFill="accent1" w:themeFillTint="33"/>
          </w:tcPr>
          <w:p w:rsidR="00651A87" w:rsidRDefault="00651A87" w:rsidP="003A1820">
            <w:pPr>
              <w:jc w:val="center"/>
            </w:pPr>
            <w:r>
              <w:t>29</w:t>
            </w:r>
          </w:p>
        </w:tc>
        <w:tc>
          <w:tcPr>
            <w:tcW w:w="4841" w:type="dxa"/>
            <w:shd w:val="clear" w:color="auto" w:fill="DBE5F1" w:themeFill="accent1" w:themeFillTint="33"/>
          </w:tcPr>
          <w:p w:rsidR="00651A87" w:rsidRDefault="00651A87" w:rsidP="003A1820">
            <w:pPr>
              <w:jc w:val="center"/>
            </w:pPr>
            <w:r>
              <w:t>81</w:t>
            </w:r>
          </w:p>
        </w:tc>
      </w:tr>
      <w:tr w:rsidR="00651A87" w:rsidTr="003A1820">
        <w:trPr>
          <w:trHeight w:val="455"/>
        </w:trPr>
        <w:tc>
          <w:tcPr>
            <w:tcW w:w="4840" w:type="dxa"/>
            <w:shd w:val="clear" w:color="auto" w:fill="DBE5F1" w:themeFill="accent1" w:themeFillTint="33"/>
          </w:tcPr>
          <w:p w:rsidR="00651A87" w:rsidRDefault="00651A87" w:rsidP="003A1820">
            <w:pPr>
              <w:jc w:val="center"/>
            </w:pPr>
            <w:r>
              <w:t>30</w:t>
            </w:r>
          </w:p>
        </w:tc>
        <w:tc>
          <w:tcPr>
            <w:tcW w:w="4841" w:type="dxa"/>
            <w:shd w:val="clear" w:color="auto" w:fill="DBE5F1" w:themeFill="accent1" w:themeFillTint="33"/>
          </w:tcPr>
          <w:p w:rsidR="00651A87" w:rsidRDefault="00651A87" w:rsidP="003A1820">
            <w:pPr>
              <w:jc w:val="center"/>
            </w:pPr>
            <w:r>
              <w:t>84</w:t>
            </w:r>
          </w:p>
        </w:tc>
      </w:tr>
      <w:tr w:rsidR="00651A87" w:rsidTr="003A1820">
        <w:trPr>
          <w:trHeight w:val="455"/>
        </w:trPr>
        <w:tc>
          <w:tcPr>
            <w:tcW w:w="9681" w:type="dxa"/>
            <w:gridSpan w:val="2"/>
            <w:shd w:val="clear" w:color="auto" w:fill="D6E3BC" w:themeFill="accent3" w:themeFillTint="66"/>
          </w:tcPr>
          <w:p w:rsidR="00651A87" w:rsidRPr="004626B6" w:rsidRDefault="00651A87" w:rsidP="003A1820">
            <w:pPr>
              <w:jc w:val="center"/>
              <w:rPr>
                <w:sz w:val="28"/>
                <w:szCs w:val="28"/>
              </w:rPr>
            </w:pPr>
            <w:r w:rsidRPr="004626B6">
              <w:rPr>
                <w:sz w:val="28"/>
                <w:szCs w:val="28"/>
              </w:rPr>
              <w:t>Ratio continues at 3 journey persons to 1 apprentice</w:t>
            </w:r>
          </w:p>
        </w:tc>
      </w:tr>
    </w:tbl>
    <w:p w:rsidR="00651A87" w:rsidRDefault="00651A87" w:rsidP="00651A87"/>
    <w:p w:rsidR="00651A87" w:rsidRDefault="00651A87" w:rsidP="00651A87">
      <w:pPr>
        <w:rPr>
          <w:b/>
          <w:bCs/>
        </w:rPr>
      </w:pPr>
    </w:p>
    <w:p w:rsidR="00651A87" w:rsidRDefault="00651A87" w:rsidP="00651A87">
      <w:pPr>
        <w:rPr>
          <w:b/>
          <w:bCs/>
        </w:rPr>
      </w:pPr>
    </w:p>
    <w:p w:rsidR="00651A87" w:rsidRDefault="00651A87" w:rsidP="00651A87">
      <w:pPr>
        <w:rPr>
          <w:b/>
          <w:bCs/>
        </w:rPr>
      </w:pPr>
    </w:p>
    <w:p w:rsidR="00651A87" w:rsidRDefault="00651A87" w:rsidP="00651A87">
      <w:pPr>
        <w:rPr>
          <w:b/>
          <w:bCs/>
        </w:rPr>
      </w:pPr>
    </w:p>
    <w:p w:rsidR="00651A87" w:rsidRDefault="00E752BE" w:rsidP="00651A87">
      <w:pPr>
        <w:rPr>
          <w:b/>
          <w:bCs/>
        </w:rPr>
      </w:pPr>
      <w:r w:rsidRPr="00E752BE">
        <w:rPr>
          <w:b/>
          <w:bCs/>
        </w:rPr>
        <w:t xml:space="preserve">Under DCP regulations, apprentices may work only in the presence and under the direct supervision of licensed contractors or journeypersons (Conn. Agency </w:t>
      </w:r>
      <w:proofErr w:type="spellStart"/>
      <w:r w:rsidRPr="00E752BE">
        <w:rPr>
          <w:b/>
          <w:bCs/>
        </w:rPr>
        <w:t>Regs</w:t>
      </w:r>
      <w:proofErr w:type="spellEnd"/>
      <w:r w:rsidRPr="00E752BE">
        <w:rPr>
          <w:b/>
          <w:bCs/>
        </w:rPr>
        <w:t xml:space="preserve">., § 20-332-15a). </w:t>
      </w:r>
      <w:bookmarkStart w:id="2" w:name="_GoBack"/>
      <w:bookmarkEnd w:id="2"/>
    </w:p>
    <w:p w:rsidR="00651A87" w:rsidRDefault="00651A87" w:rsidP="00651A87">
      <w:pPr>
        <w:rPr>
          <w:b/>
          <w:bCs/>
        </w:rPr>
      </w:pPr>
    </w:p>
    <w:p w:rsidR="00651A87" w:rsidRDefault="00651A87" w:rsidP="00651A87">
      <w:pPr>
        <w:rPr>
          <w:b/>
          <w:bCs/>
        </w:rPr>
      </w:pPr>
    </w:p>
    <w:p w:rsidR="00651A87" w:rsidRDefault="00651A87" w:rsidP="00651A87">
      <w:pPr>
        <w:rPr>
          <w:b/>
          <w:bCs/>
        </w:rPr>
      </w:pPr>
    </w:p>
    <w:p w:rsidR="00651A87" w:rsidRDefault="00651A87" w:rsidP="00651A87">
      <w:pPr>
        <w:rPr>
          <w:b/>
          <w:bCs/>
        </w:rPr>
      </w:pPr>
    </w:p>
    <w:p w:rsidR="00651A87" w:rsidRDefault="00651A87" w:rsidP="00651A87">
      <w:pPr>
        <w:rPr>
          <w:b/>
          <w:bCs/>
        </w:rPr>
      </w:pPr>
    </w:p>
    <w:p w:rsidR="00651A87" w:rsidRDefault="00651A87" w:rsidP="00651A87">
      <w:pPr>
        <w:rPr>
          <w:b/>
          <w:bCs/>
        </w:rPr>
      </w:pPr>
    </w:p>
    <w:p w:rsidR="00651A87" w:rsidRDefault="00651A87" w:rsidP="00651A87">
      <w:pPr>
        <w:rPr>
          <w:b/>
          <w:bCs/>
        </w:rPr>
      </w:pPr>
    </w:p>
    <w:p w:rsidR="00651A87" w:rsidRDefault="00651A87" w:rsidP="00651A87">
      <w:pPr>
        <w:rPr>
          <w:b/>
          <w:bCs/>
        </w:rPr>
      </w:pPr>
    </w:p>
    <w:p w:rsidR="00651A87" w:rsidRDefault="00651A87" w:rsidP="00651A87">
      <w:pPr>
        <w:rPr>
          <w:b/>
          <w:bCs/>
        </w:rPr>
      </w:pPr>
    </w:p>
    <w:p w:rsidR="00651A87" w:rsidRDefault="00651A87" w:rsidP="00651A87">
      <w:pPr>
        <w:rPr>
          <w:b/>
          <w:bCs/>
        </w:rPr>
      </w:pPr>
    </w:p>
    <w:sectPr w:rsidR="00651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87"/>
    <w:rsid w:val="00085442"/>
    <w:rsid w:val="00651A87"/>
    <w:rsid w:val="00E7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A8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A87"/>
    <w:rPr>
      <w:rFonts w:ascii="Tahoma" w:hAnsi="Tahoma" w:cs="Tahoma"/>
      <w:sz w:val="16"/>
      <w:szCs w:val="16"/>
    </w:rPr>
  </w:style>
  <w:style w:type="table" w:styleId="TableGrid">
    <w:name w:val="Table Grid"/>
    <w:basedOn w:val="TableNormal"/>
    <w:uiPriority w:val="59"/>
    <w:rsid w:val="00651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A8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A87"/>
    <w:rPr>
      <w:rFonts w:ascii="Tahoma" w:hAnsi="Tahoma" w:cs="Tahoma"/>
      <w:sz w:val="16"/>
      <w:szCs w:val="16"/>
    </w:rPr>
  </w:style>
  <w:style w:type="table" w:styleId="TableGrid">
    <w:name w:val="Table Grid"/>
    <w:basedOn w:val="TableNormal"/>
    <w:uiPriority w:val="59"/>
    <w:rsid w:val="00651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43817">
      <w:bodyDiv w:val="1"/>
      <w:marLeft w:val="0"/>
      <w:marRight w:val="0"/>
      <w:marTop w:val="0"/>
      <w:marBottom w:val="0"/>
      <w:divBdr>
        <w:top w:val="none" w:sz="0" w:space="0" w:color="auto"/>
        <w:left w:val="none" w:sz="0" w:space="0" w:color="auto"/>
        <w:bottom w:val="none" w:sz="0" w:space="0" w:color="auto"/>
        <w:right w:val="none" w:sz="0" w:space="0" w:color="auto"/>
      </w:divBdr>
    </w:div>
    <w:div w:id="1543252891">
      <w:bodyDiv w:val="1"/>
      <w:marLeft w:val="0"/>
      <w:marRight w:val="0"/>
      <w:marTop w:val="0"/>
      <w:marBottom w:val="0"/>
      <w:divBdr>
        <w:top w:val="none" w:sz="0" w:space="0" w:color="auto"/>
        <w:left w:val="none" w:sz="0" w:space="0" w:color="auto"/>
        <w:bottom w:val="none" w:sz="0" w:space="0" w:color="auto"/>
        <w:right w:val="none" w:sz="0" w:space="0" w:color="auto"/>
      </w:divBdr>
      <w:divsChild>
        <w:div w:id="1766994216">
          <w:marLeft w:val="720"/>
          <w:marRight w:val="0"/>
          <w:marTop w:val="0"/>
          <w:marBottom w:val="0"/>
          <w:divBdr>
            <w:top w:val="none" w:sz="0" w:space="0" w:color="auto"/>
            <w:left w:val="none" w:sz="0" w:space="0" w:color="auto"/>
            <w:bottom w:val="none" w:sz="0" w:space="0" w:color="auto"/>
            <w:right w:val="none" w:sz="0" w:space="0" w:color="auto"/>
          </w:divBdr>
        </w:div>
        <w:div w:id="82516470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Deprtment of Labor</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Berch, Todd</dc:creator>
  <cp:lastModifiedBy>Berch, Todd</cp:lastModifiedBy>
  <cp:revision>1</cp:revision>
  <dcterms:created xsi:type="dcterms:W3CDTF">2017-07-25T17:47:00Z</dcterms:created>
  <dcterms:modified xsi:type="dcterms:W3CDTF">2017-07-25T18:04:00Z</dcterms:modified>
</cp:coreProperties>
</file>